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BBD" w14:textId="77777777" w:rsidR="008D2398" w:rsidRPr="008D2398" w:rsidRDefault="008D2398" w:rsidP="008D2398">
      <w:pPr>
        <w:shd w:val="clear" w:color="auto" w:fill="FFFFFF"/>
        <w:spacing w:before="300" w:after="150" w:line="240" w:lineRule="auto"/>
        <w:outlineLvl w:val="1"/>
        <w:rPr>
          <w:rFonts w:ascii="Helvetica" w:eastAsia="Times New Roman" w:hAnsi="Helvetica" w:cs="Helvetica"/>
          <w:color w:val="333333"/>
          <w:sz w:val="45"/>
          <w:szCs w:val="45"/>
        </w:rPr>
      </w:pPr>
      <w:r w:rsidRPr="008D2398">
        <w:rPr>
          <w:rFonts w:ascii="Helvetica" w:eastAsia="Times New Roman" w:hAnsi="Helvetica" w:cs="Helvetica"/>
          <w:b/>
          <w:bCs/>
          <w:color w:val="333333"/>
          <w:sz w:val="21"/>
          <w:szCs w:val="21"/>
        </w:rPr>
        <w:t>1. Hiệu lực thi hành của Luật Đất đai 2024</w:t>
      </w:r>
    </w:p>
    <w:p w14:paraId="798C486B"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Ngày 18/01/2024, Quốc hội đã thông qua </w:t>
      </w:r>
      <w:hyperlink r:id="rId5" w:tgtFrame="_blank" w:history="1">
        <w:r w:rsidRPr="008D2398">
          <w:rPr>
            <w:rFonts w:ascii="Helvetica" w:eastAsia="Times New Roman" w:hAnsi="Helvetica" w:cs="Helvetica"/>
            <w:color w:val="0000FF"/>
            <w:sz w:val="21"/>
            <w:szCs w:val="21"/>
            <w:u w:val="single"/>
          </w:rPr>
          <w:t>Luật Đất đai 2024</w:t>
        </w:r>
      </w:hyperlink>
      <w:r w:rsidRPr="008D2398">
        <w:rPr>
          <w:rFonts w:ascii="Helvetica" w:eastAsia="Times New Roman" w:hAnsi="Helvetica" w:cs="Helvetica"/>
          <w:color w:val="333333"/>
          <w:sz w:val="21"/>
          <w:szCs w:val="21"/>
        </w:rPr>
        <w:t>, có hiệu lực từ ngày 01/01/2025 (trừ Điều 190 và Điều 248 </w:t>
      </w:r>
      <w:hyperlink r:id="rId6" w:tgtFrame="_blank" w:history="1">
        <w:r w:rsidRPr="008D2398">
          <w:rPr>
            <w:rFonts w:ascii="Helvetica" w:eastAsia="Times New Roman" w:hAnsi="Helvetica" w:cs="Helvetica"/>
            <w:color w:val="0000FF"/>
            <w:sz w:val="21"/>
            <w:szCs w:val="21"/>
            <w:u w:val="single"/>
          </w:rPr>
          <w:t>Luật Đất đai 2024</w:t>
        </w:r>
      </w:hyperlink>
      <w:r w:rsidRPr="008D2398">
        <w:rPr>
          <w:rFonts w:ascii="Helvetica" w:eastAsia="Times New Roman" w:hAnsi="Helvetica" w:cs="Helvetica"/>
          <w:color w:val="333333"/>
          <w:sz w:val="21"/>
          <w:szCs w:val="21"/>
        </w:rPr>
        <w:t> có hiệu lực từ ngày 01/4/2024).</w:t>
      </w:r>
    </w:p>
    <w:p w14:paraId="15C32D41" w14:textId="77777777" w:rsidR="008D2398" w:rsidRPr="008D2398" w:rsidRDefault="008D2398" w:rsidP="008D2398">
      <w:pPr>
        <w:shd w:val="clear" w:color="auto" w:fill="FFFFFF"/>
        <w:spacing w:before="300" w:after="150" w:line="240" w:lineRule="auto"/>
        <w:outlineLvl w:val="1"/>
        <w:rPr>
          <w:rFonts w:ascii="Helvetica" w:eastAsia="Times New Roman" w:hAnsi="Helvetica" w:cs="Helvetica"/>
          <w:color w:val="333333"/>
          <w:sz w:val="45"/>
          <w:szCs w:val="45"/>
        </w:rPr>
      </w:pPr>
      <w:r w:rsidRPr="008D2398">
        <w:rPr>
          <w:rFonts w:ascii="Helvetica" w:eastAsia="Times New Roman" w:hAnsi="Helvetica" w:cs="Helvetica"/>
          <w:b/>
          <w:bCs/>
          <w:color w:val="333333"/>
          <w:sz w:val="21"/>
          <w:szCs w:val="21"/>
        </w:rPr>
        <w:t>2. Bộ TN&amp;MT sẽ trình 05 Nghị định và ban hành 15 Thông tư hướng dẫn Luật Đất đai</w:t>
      </w:r>
    </w:p>
    <w:p w14:paraId="7BABDE2B"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Theo </w:t>
      </w:r>
      <w:hyperlink r:id="rId7" w:tgtFrame="_blank" w:history="1">
        <w:r w:rsidRPr="008D2398">
          <w:rPr>
            <w:rFonts w:ascii="Helvetica" w:eastAsia="Times New Roman" w:hAnsi="Helvetica" w:cs="Helvetica"/>
            <w:color w:val="0000FF"/>
            <w:sz w:val="21"/>
            <w:szCs w:val="21"/>
            <w:u w:val="single"/>
          </w:rPr>
          <w:t>Quyết định 278/QĐ-BTNMT</w:t>
        </w:r>
      </w:hyperlink>
      <w:r w:rsidRPr="008D2398">
        <w:rPr>
          <w:rFonts w:ascii="Helvetica" w:eastAsia="Times New Roman" w:hAnsi="Helvetica" w:cs="Helvetica"/>
          <w:color w:val="333333"/>
          <w:sz w:val="21"/>
          <w:szCs w:val="21"/>
        </w:rPr>
        <w:t> ngày 30/01/2024 về Chương trình công tác năm 2024 của Bộ Tài nguyên và Môi trường thì trong năm 2024 Bộ Tài nguyên và Môi trường sẽ:</w:t>
      </w:r>
    </w:p>
    <w:p w14:paraId="0B77035F"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 Trình 05 Nghị định hướng dẫn Luật Đất đai 2024:</w:t>
      </w:r>
    </w:p>
    <w:p w14:paraId="6FC90EC7"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Nghị định quy định về điều tra cơ bản đất đai; đăng ký, cấp giấy chứng nhận quyền sử dụng đất, quyền sở hữu tài sản gắn liền với đất và hệ thống thông tin đất đai.</w:t>
      </w:r>
    </w:p>
    <w:p w14:paraId="0F48DC23"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Nghị định của Chính phủ quy định về bồi thường, hỗ trợ, tái định cư khi Nhà nước thu hồi đất.</w:t>
      </w:r>
    </w:p>
    <w:p w14:paraId="7931D74B"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Nghị định của Chính phủ quy định về giá đất.</w:t>
      </w:r>
    </w:p>
    <w:p w14:paraId="081D5B60"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Nghị định quy định chi tiết thi hành Luật Đất đai.</w:t>
      </w:r>
    </w:p>
    <w:p w14:paraId="6947208E"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Nghị định về xử phạt vi phạm hành chính trong lĩnh vực đất đai.</w:t>
      </w:r>
    </w:p>
    <w:p w14:paraId="68B8C7A4"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 Ban hành 15 Thông tư hướng dẫn Luật Đất đai 2024:</w:t>
      </w:r>
    </w:p>
    <w:p w14:paraId="13CFD98A"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Thông tư quy định về hồ sơ địa chính và giấy chứng nhận quyền sử dụng đất, quyền sở hữu tài sản gắn liền với đất.</w:t>
      </w:r>
    </w:p>
    <w:p w14:paraId="27D93962"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Thông tư quy định về thống kê, kiểm kê đất đai lập, bản đồ hiện trạng sử dụng đất.</w:t>
      </w:r>
    </w:p>
    <w:p w14:paraId="537B2B8F"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Thông tư quy định về bản đồ địa chính.</w:t>
      </w:r>
    </w:p>
    <w:p w14:paraId="3742E750"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Thông tư quy định kỹ thuật về cơ sở dữ liệu quốc gia về đất đai.</w:t>
      </w:r>
    </w:p>
    <w:p w14:paraId="486BA602"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về quy trình xây dựng cơ sở dữ liệu quốc gia về đất đai.</w:t>
      </w:r>
    </w:p>
    <w:p w14:paraId="64CC632E"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ban hành định mức kinh tế - kỹ thuật xây dựng cơ sở dữ liệu đất đai.</w:t>
      </w:r>
    </w:p>
    <w:p w14:paraId="1005CE5B"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ban hành định mức kinh tế - kỹ thuật thống kê, kiểm kê đất đai lập bản đồ hiện trạng sử dụng đất.</w:t>
      </w:r>
    </w:p>
    <w:p w14:paraId="49CA2916"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về định mức kinh tế - kỹ thuật đo đạc lập bản đồ địa chính, đăng ký đất đai, tài sản gắn liền với đất, lập hồ sơ địa chính, cấp Giấy chứng nhận quyền sử dụng đất, quyền sở hữu tài sản gắn liền với đất.</w:t>
      </w:r>
    </w:p>
    <w:p w14:paraId="6B971B63"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về kỹ thuật điều tra, đánh giá đất đai; kỹ thuật bảo vệ, cải tạo, phục hồi đất.</w:t>
      </w:r>
    </w:p>
    <w:p w14:paraId="1F02A279"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chi tiết phương pháp định giá đất; xây dựng, điều chỉnh bảng giá đất; định giá đất cụ thể và tư vấn xác định giá đất.</w:t>
      </w:r>
    </w:p>
    <w:p w14:paraId="431FB906"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kỹ thuật việc lập, điều chỉnh quy hoạch, kế hoạch sử dụng đất.</w:t>
      </w:r>
    </w:p>
    <w:p w14:paraId="3309F672"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định mức kinh tế - kỹ thuật điều tra, đánh giá đất đai; kỹ thuật bảo vệ, cải tạo, phục hồi đất.</w:t>
      </w:r>
    </w:p>
    <w:p w14:paraId="20403009"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ban hành định mức kinh tế - kỹ thuật để lập dự toán ngân sách nhà nước phục vụ công tác định giá đất.</w:t>
      </w:r>
    </w:p>
    <w:p w14:paraId="597F7AB9"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quy định về định mức kinh tế - kỹ thuật lập, điều chỉnh quy hoạch, kế hoạch sử dụng đất.</w:t>
      </w:r>
    </w:p>
    <w:p w14:paraId="0A93E08E"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Thông tư hướng dẫn chức năng, nhiệm vụ, quyền hạn, cơ cấu tổ chức và cơ chế hoạt động của Trung tâm Kỹ thuật tài nguyên và môi trường thuộc Sở Tài nguyên và Môi trường.</w:t>
      </w:r>
    </w:p>
    <w:p w14:paraId="0C85AC0D" w14:textId="77777777" w:rsidR="008D2398" w:rsidRDefault="008D2398" w:rsidP="008D2398">
      <w:pPr>
        <w:pStyle w:val="Heading2"/>
        <w:shd w:val="clear" w:color="auto" w:fill="FFFFFF"/>
        <w:spacing w:before="300" w:beforeAutospacing="0" w:after="150" w:afterAutospacing="0"/>
        <w:rPr>
          <w:rFonts w:ascii="Helvetica" w:hAnsi="Helvetica" w:cs="Helvetica"/>
          <w:b w:val="0"/>
          <w:bCs w:val="0"/>
          <w:color w:val="333333"/>
          <w:sz w:val="45"/>
          <w:szCs w:val="45"/>
        </w:rPr>
      </w:pPr>
      <w:r>
        <w:rPr>
          <w:rStyle w:val="Strong"/>
          <w:rFonts w:ascii="Helvetica" w:hAnsi="Helvetica" w:cs="Helvetica"/>
          <w:b/>
          <w:bCs/>
          <w:color w:val="333333"/>
          <w:sz w:val="21"/>
          <w:szCs w:val="21"/>
        </w:rPr>
        <w:t>3. Tổng hợp dự thảo nghị định và thông tư hướng dẫn Luật Đất đai 2024</w:t>
      </w:r>
    </w:p>
    <w:p w14:paraId="7F2631DB" w14:textId="77777777" w:rsidR="008D2398" w:rsidRDefault="008D2398" w:rsidP="008D239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Dự thảo nghị định và thông tư hướng dẫn </w:t>
      </w:r>
      <w:hyperlink r:id="rId8" w:tgtFrame="_blank" w:history="1">
        <w:r>
          <w:rPr>
            <w:rStyle w:val="Hyperlink"/>
            <w:rFonts w:ascii="Helvetica" w:hAnsi="Helvetica" w:cs="Helvetica"/>
            <w:sz w:val="21"/>
            <w:szCs w:val="21"/>
          </w:rPr>
          <w:t>Luật Đất đai 2024</w:t>
        </w:r>
      </w:hyperlink>
      <w:r>
        <w:rPr>
          <w:rFonts w:ascii="Helvetica" w:hAnsi="Helvetica" w:cs="Helvetica"/>
          <w:color w:val="333333"/>
          <w:sz w:val="21"/>
          <w:szCs w:val="21"/>
        </w:rPr>
        <w:t> bao gồm:</w:t>
      </w:r>
    </w:p>
    <w:p w14:paraId="3904C2A1" w14:textId="6F92A58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w:t>
      </w:r>
      <w:r w:rsidRPr="008D2398">
        <w:rPr>
          <w:rFonts w:ascii="Helvetica" w:eastAsia="Times New Roman" w:hAnsi="Helvetica" w:cs="Helvetica"/>
          <w:color w:val="333333"/>
          <w:sz w:val="21"/>
          <w:szCs w:val="21"/>
        </w:rPr>
        <w:t> </w:t>
      </w:r>
      <w:hyperlink r:id="rId9" w:tgtFrame="_blank" w:history="1">
        <w:r w:rsidRPr="008D2398">
          <w:rPr>
            <w:rFonts w:ascii="Helvetica" w:eastAsia="Times New Roman" w:hAnsi="Helvetica" w:cs="Helvetica"/>
            <w:color w:val="0000FF"/>
            <w:sz w:val="21"/>
            <w:szCs w:val="21"/>
            <w:u w:val="single"/>
          </w:rPr>
          <w:t>Dự thảo Nghị định</w:t>
        </w:r>
      </w:hyperlink>
      <w:r w:rsidRPr="008D2398">
        <w:rPr>
          <w:rFonts w:ascii="Helvetica" w:eastAsia="Times New Roman" w:hAnsi="Helvetica" w:cs="Helvetica"/>
          <w:color w:val="333333"/>
          <w:sz w:val="21"/>
          <w:szCs w:val="21"/>
        </w:rPr>
        <w:t> quy định về giá đất theo </w:t>
      </w:r>
      <w:hyperlink r:id="rId10" w:tgtFrame="_blank" w:history="1">
        <w:r w:rsidRPr="008D2398">
          <w:rPr>
            <w:rFonts w:ascii="Helvetica" w:eastAsia="Times New Roman" w:hAnsi="Helvetica" w:cs="Helvetica"/>
            <w:color w:val="0000FF"/>
            <w:sz w:val="21"/>
            <w:szCs w:val="21"/>
            <w:u w:val="single"/>
          </w:rPr>
          <w:t>Luật Đất đai 2024</w:t>
        </w:r>
      </w:hyperlink>
      <w:r w:rsidRPr="008D2398">
        <w:rPr>
          <w:rFonts w:ascii="Helvetica" w:eastAsia="Times New Roman" w:hAnsi="Helvetica" w:cs="Helvetica"/>
          <w:color w:val="333333"/>
          <w:sz w:val="21"/>
          <w:szCs w:val="21"/>
        </w:rPr>
        <w:t>.</w:t>
      </w:r>
    </w:p>
    <w:tbl>
      <w:tblPr>
        <w:tblW w:w="0" w:type="auto"/>
        <w:shd w:val="clear" w:color="auto" w:fill="FFFFFF"/>
        <w:tblCellMar>
          <w:left w:w="0" w:type="dxa"/>
          <w:right w:w="0" w:type="dxa"/>
        </w:tblCellMar>
        <w:tblLook w:val="04A0" w:firstRow="1" w:lastRow="0" w:firstColumn="1" w:lastColumn="0" w:noHBand="0" w:noVBand="1"/>
      </w:tblPr>
      <w:tblGrid>
        <w:gridCol w:w="1500"/>
        <w:gridCol w:w="3792"/>
      </w:tblGrid>
      <w:tr w:rsidR="008D2398" w:rsidRPr="008D2398" w14:paraId="62F942C6" w14:textId="77777777" w:rsidTr="008D2398">
        <w:tc>
          <w:tcPr>
            <w:tcW w:w="1500" w:type="dxa"/>
            <w:shd w:val="clear" w:color="auto" w:fill="FFFFFF"/>
            <w:vAlign w:val="center"/>
            <w:hideMark/>
          </w:tcPr>
          <w:p w14:paraId="06AB6D83" w14:textId="1232F40E"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Tahoma" w:eastAsia="Times New Roman" w:hAnsi="Tahoma" w:cs="Tahoma"/>
                <w:b/>
                <w:bCs/>
                <w:noProof/>
                <w:color w:val="FF8124"/>
                <w:sz w:val="18"/>
                <w:szCs w:val="18"/>
              </w:rPr>
              <w:drawing>
                <wp:inline distT="0" distB="0" distL="0" distR="0" wp14:anchorId="2F6E1A76" wp14:editId="5719C1F7">
                  <wp:extent cx="847725" cy="371475"/>
                  <wp:effectExtent l="0" t="0" r="9525" b="9525"/>
                  <wp:docPr id="4" name="Picture 4">
                    <a:hlinkClick xmlns:a="http://schemas.openxmlformats.org/drawingml/2006/main" r:id="rId11" tgtFrame="&quot;_blank&quot;" tooltip="&quot;tải v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gtFrame="&quot;_blank&quot;" tooltip="&quot;tải về&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tc>
        <w:tc>
          <w:tcPr>
            <w:tcW w:w="0" w:type="auto"/>
            <w:shd w:val="clear" w:color="auto" w:fill="FFFFFF"/>
            <w:vAlign w:val="center"/>
            <w:hideMark/>
          </w:tcPr>
          <w:p w14:paraId="7994F7F4" w14:textId="77777777"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Dự thảo Nghị định quy định về giá đất</w:t>
            </w:r>
          </w:p>
        </w:tc>
      </w:tr>
    </w:tbl>
    <w:p w14:paraId="0F839EF1"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Dự thảo Nghị định quy định về bồi thường, hỗ trợ, tái định cư khi Nhà nước thu hồi đất.</w:t>
      </w:r>
    </w:p>
    <w:tbl>
      <w:tblPr>
        <w:tblW w:w="0" w:type="auto"/>
        <w:shd w:val="clear" w:color="auto" w:fill="FFFFFF"/>
        <w:tblCellMar>
          <w:left w:w="0" w:type="dxa"/>
          <w:right w:w="0" w:type="dxa"/>
        </w:tblCellMar>
        <w:tblLook w:val="04A0" w:firstRow="1" w:lastRow="0" w:firstColumn="1" w:lastColumn="0" w:noHBand="0" w:noVBand="1"/>
      </w:tblPr>
      <w:tblGrid>
        <w:gridCol w:w="1500"/>
        <w:gridCol w:w="7575"/>
      </w:tblGrid>
      <w:tr w:rsidR="008D2398" w:rsidRPr="008D2398" w14:paraId="46F1F6CC" w14:textId="77777777" w:rsidTr="008D2398">
        <w:tc>
          <w:tcPr>
            <w:tcW w:w="1500" w:type="dxa"/>
            <w:shd w:val="clear" w:color="auto" w:fill="FFFFFF"/>
            <w:vAlign w:val="center"/>
            <w:hideMark/>
          </w:tcPr>
          <w:p w14:paraId="47754470" w14:textId="7917459E"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Tahoma" w:eastAsia="Times New Roman" w:hAnsi="Tahoma" w:cs="Tahoma"/>
                <w:b/>
                <w:bCs/>
                <w:noProof/>
                <w:color w:val="FF8124"/>
                <w:sz w:val="18"/>
                <w:szCs w:val="18"/>
              </w:rPr>
              <w:drawing>
                <wp:inline distT="0" distB="0" distL="0" distR="0" wp14:anchorId="2DF9F264" wp14:editId="3A62BDC7">
                  <wp:extent cx="847725" cy="371475"/>
                  <wp:effectExtent l="0" t="0" r="9525" b="9525"/>
                  <wp:docPr id="3" name="Picture 3">
                    <a:hlinkClick xmlns:a="http://schemas.openxmlformats.org/drawingml/2006/main" r:id="rId11" tgtFrame="&quot;_blank&quot;" tooltip="&quot;tải v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gtFrame="&quot;_blank&quot;" tooltip="&quot;tải về&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tc>
        <w:tc>
          <w:tcPr>
            <w:tcW w:w="0" w:type="auto"/>
            <w:shd w:val="clear" w:color="auto" w:fill="FFFFFF"/>
            <w:vAlign w:val="center"/>
            <w:hideMark/>
          </w:tcPr>
          <w:p w14:paraId="78CF6210" w14:textId="77777777"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Dự thảo Nghị định quy định về bồi thường, hỗ trợ, tái định cư khi Nhà nước thu hồi đất</w:t>
            </w:r>
          </w:p>
        </w:tc>
      </w:tr>
    </w:tbl>
    <w:p w14:paraId="4B95DB08"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Dự thảo Nghị định quy định về điều tra cơ bản đất đai; đăng ký, cấp giấy chứng nhận quyền sử dụng đất, quyền sở hữu tài sản gắn liền với đất và hệ thống thông tin đất đai.</w:t>
      </w:r>
    </w:p>
    <w:tbl>
      <w:tblPr>
        <w:tblW w:w="0" w:type="auto"/>
        <w:shd w:val="clear" w:color="auto" w:fill="FFFFFF"/>
        <w:tblCellMar>
          <w:left w:w="0" w:type="dxa"/>
          <w:right w:w="0" w:type="dxa"/>
        </w:tblCellMar>
        <w:tblLook w:val="04A0" w:firstRow="1" w:lastRow="0" w:firstColumn="1" w:lastColumn="0" w:noHBand="0" w:noVBand="1"/>
      </w:tblPr>
      <w:tblGrid>
        <w:gridCol w:w="1500"/>
        <w:gridCol w:w="7575"/>
      </w:tblGrid>
      <w:tr w:rsidR="008D2398" w:rsidRPr="008D2398" w14:paraId="1D207394" w14:textId="77777777" w:rsidTr="008D2398">
        <w:tc>
          <w:tcPr>
            <w:tcW w:w="1500" w:type="dxa"/>
            <w:shd w:val="clear" w:color="auto" w:fill="FFFFFF"/>
            <w:vAlign w:val="center"/>
            <w:hideMark/>
          </w:tcPr>
          <w:p w14:paraId="4F00A376" w14:textId="78EF8167"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Tahoma" w:eastAsia="Times New Roman" w:hAnsi="Tahoma" w:cs="Tahoma"/>
                <w:b/>
                <w:bCs/>
                <w:noProof/>
                <w:color w:val="FF8124"/>
                <w:sz w:val="18"/>
                <w:szCs w:val="18"/>
              </w:rPr>
              <w:drawing>
                <wp:inline distT="0" distB="0" distL="0" distR="0" wp14:anchorId="68D4B1C7" wp14:editId="65F812A0">
                  <wp:extent cx="847725" cy="371475"/>
                  <wp:effectExtent l="0" t="0" r="9525" b="9525"/>
                  <wp:docPr id="2" name="Picture 2">
                    <a:hlinkClick xmlns:a="http://schemas.openxmlformats.org/drawingml/2006/main" r:id="rId11" tgtFrame="&quot;_blank&quot;" tooltip="&quot;tải v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tgtFrame="&quot;_blank&quot;" tooltip="&quot;tải về&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tc>
        <w:tc>
          <w:tcPr>
            <w:tcW w:w="0" w:type="auto"/>
            <w:shd w:val="clear" w:color="auto" w:fill="FFFFFF"/>
            <w:vAlign w:val="center"/>
            <w:hideMark/>
          </w:tcPr>
          <w:p w14:paraId="668BD2BC" w14:textId="77777777"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Dự thảo Nghị định quy định về điều tra cơ bản đất đai; đăng ký, cấp giấy chứng nhận quyền sử dụng đất, quyền sở hữu tài sản gắn liền với đất và hệ thống thông tin đất đai</w:t>
            </w:r>
          </w:p>
        </w:tc>
      </w:tr>
    </w:tbl>
    <w:p w14:paraId="00FEC338" w14:textId="77777777" w:rsidR="008D2398" w:rsidRPr="008D2398" w:rsidRDefault="008D2398" w:rsidP="008D2398">
      <w:pPr>
        <w:shd w:val="clear" w:color="auto" w:fill="FFFFFF"/>
        <w:spacing w:before="0" w:after="150" w:line="240" w:lineRule="auto"/>
        <w:rPr>
          <w:rFonts w:ascii="Helvetica" w:eastAsia="Times New Roman" w:hAnsi="Helvetica" w:cs="Helvetica"/>
          <w:color w:val="333333"/>
          <w:sz w:val="21"/>
          <w:szCs w:val="21"/>
        </w:rPr>
      </w:pPr>
      <w:r w:rsidRPr="008D2398">
        <w:rPr>
          <w:rFonts w:ascii="Helvetica" w:eastAsia="Times New Roman" w:hAnsi="Helvetica" w:cs="Helvetica"/>
          <w:color w:val="333333"/>
          <w:sz w:val="21"/>
          <w:szCs w:val="21"/>
        </w:rPr>
        <w:t>- Dự thảo Nghị định quy định chi tiết thi hành một số điều của </w:t>
      </w:r>
      <w:hyperlink r:id="rId13" w:tgtFrame="_blank" w:history="1">
        <w:r w:rsidRPr="008D2398">
          <w:rPr>
            <w:rFonts w:ascii="Helvetica" w:eastAsia="Times New Roman" w:hAnsi="Helvetica" w:cs="Helvetica"/>
            <w:color w:val="0000FF"/>
            <w:sz w:val="21"/>
            <w:szCs w:val="21"/>
            <w:u w:val="single"/>
          </w:rPr>
          <w:t>Luật Đất đai 2024</w:t>
        </w:r>
      </w:hyperlink>
      <w:r w:rsidRPr="008D2398">
        <w:rPr>
          <w:rFonts w:ascii="Helvetica" w:eastAsia="Times New Roman" w:hAnsi="Helvetica" w:cs="Helvetica"/>
          <w:color w:val="333333"/>
          <w:sz w:val="21"/>
          <w:szCs w:val="21"/>
        </w:rPr>
        <w:t>.</w:t>
      </w:r>
    </w:p>
    <w:tbl>
      <w:tblPr>
        <w:tblW w:w="0" w:type="auto"/>
        <w:shd w:val="clear" w:color="auto" w:fill="FFFFFF"/>
        <w:tblCellMar>
          <w:left w:w="0" w:type="dxa"/>
          <w:right w:w="0" w:type="dxa"/>
        </w:tblCellMar>
        <w:tblLook w:val="04A0" w:firstRow="1" w:lastRow="0" w:firstColumn="1" w:lastColumn="0" w:noHBand="0" w:noVBand="1"/>
      </w:tblPr>
      <w:tblGrid>
        <w:gridCol w:w="1500"/>
        <w:gridCol w:w="7575"/>
      </w:tblGrid>
      <w:tr w:rsidR="008D2398" w:rsidRPr="008D2398" w14:paraId="0501C946" w14:textId="77777777" w:rsidTr="008D2398">
        <w:tc>
          <w:tcPr>
            <w:tcW w:w="1500" w:type="dxa"/>
            <w:shd w:val="clear" w:color="auto" w:fill="FFFFFF"/>
            <w:vAlign w:val="center"/>
            <w:hideMark/>
          </w:tcPr>
          <w:p w14:paraId="4893F5A3" w14:textId="7A16DED6"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Tahoma" w:eastAsia="Times New Roman" w:hAnsi="Tahoma" w:cs="Tahoma"/>
                <w:b/>
                <w:bCs/>
                <w:noProof/>
                <w:color w:val="FF8124"/>
                <w:sz w:val="18"/>
                <w:szCs w:val="18"/>
              </w:rPr>
              <w:drawing>
                <wp:inline distT="0" distB="0" distL="0" distR="0" wp14:anchorId="42B51C20" wp14:editId="19375079">
                  <wp:extent cx="847725" cy="371475"/>
                  <wp:effectExtent l="0" t="0" r="9525" b="9525"/>
                  <wp:docPr id="1" name="Picture 1">
                    <a:hlinkClick xmlns:a="http://schemas.openxmlformats.org/drawingml/2006/main" r:id="rId11" tgtFrame="&quot;_blank&quot;" tooltip="&quot;tải v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tooltip="&quot;tải về&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tc>
        <w:tc>
          <w:tcPr>
            <w:tcW w:w="0" w:type="auto"/>
            <w:shd w:val="clear" w:color="auto" w:fill="FFFFFF"/>
            <w:vAlign w:val="center"/>
            <w:hideMark/>
          </w:tcPr>
          <w:p w14:paraId="6F435431" w14:textId="77777777" w:rsidR="008D2398" w:rsidRPr="008D2398" w:rsidRDefault="008D2398" w:rsidP="008D2398">
            <w:pPr>
              <w:spacing w:before="0" w:after="0" w:line="240" w:lineRule="auto"/>
              <w:rPr>
                <w:rFonts w:ascii="Helvetica" w:eastAsia="Times New Roman" w:hAnsi="Helvetica" w:cs="Helvetica"/>
                <w:color w:val="333333"/>
                <w:sz w:val="21"/>
                <w:szCs w:val="21"/>
              </w:rPr>
            </w:pPr>
            <w:r w:rsidRPr="008D2398">
              <w:rPr>
                <w:rFonts w:ascii="Helvetica" w:eastAsia="Times New Roman" w:hAnsi="Helvetica" w:cs="Helvetica"/>
                <w:b/>
                <w:bCs/>
                <w:color w:val="333333"/>
                <w:sz w:val="21"/>
                <w:szCs w:val="21"/>
              </w:rPr>
              <w:t>Dự thảo Nghị định quy định chi tiết thi hành một số điều của Luật Đất đai 2024</w:t>
            </w:r>
          </w:p>
        </w:tc>
      </w:tr>
    </w:tbl>
    <w:p w14:paraId="57B00371" w14:textId="25E32BF7" w:rsidR="00245BDD" w:rsidRDefault="00245BDD"/>
    <w:sectPr w:rsidR="00245BDD" w:rsidSect="00E937B5">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5B43"/>
    <w:multiLevelType w:val="hybridMultilevel"/>
    <w:tmpl w:val="D88AC998"/>
    <w:lvl w:ilvl="0" w:tplc="388CA4E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98"/>
    <w:rsid w:val="00176D66"/>
    <w:rsid w:val="00245BDD"/>
    <w:rsid w:val="004071AD"/>
    <w:rsid w:val="008D2398"/>
    <w:rsid w:val="00917AA5"/>
    <w:rsid w:val="00CC2B00"/>
    <w:rsid w:val="00E9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4D2"/>
  <w15:chartTrackingRefBased/>
  <w15:docId w15:val="{1784B1C9-71EC-44AE-9608-B144394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239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398"/>
    <w:rPr>
      <w:rFonts w:eastAsia="Times New Roman" w:cs="Times New Roman"/>
      <w:b/>
      <w:bCs/>
      <w:sz w:val="36"/>
      <w:szCs w:val="36"/>
    </w:rPr>
  </w:style>
  <w:style w:type="character" w:styleId="Strong">
    <w:name w:val="Strong"/>
    <w:basedOn w:val="DefaultParagraphFont"/>
    <w:uiPriority w:val="22"/>
    <w:qFormat/>
    <w:rsid w:val="008D2398"/>
    <w:rPr>
      <w:b/>
      <w:bCs/>
    </w:rPr>
  </w:style>
  <w:style w:type="paragraph" w:styleId="NormalWeb">
    <w:name w:val="Normal (Web)"/>
    <w:basedOn w:val="Normal"/>
    <w:uiPriority w:val="99"/>
    <w:semiHidden/>
    <w:unhideWhenUsed/>
    <w:rsid w:val="008D239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D2398"/>
    <w:rPr>
      <w:color w:val="0000FF"/>
      <w:u w:val="single"/>
    </w:rPr>
  </w:style>
  <w:style w:type="paragraph" w:styleId="ListParagraph">
    <w:name w:val="List Paragraph"/>
    <w:basedOn w:val="Normal"/>
    <w:uiPriority w:val="34"/>
    <w:qFormat/>
    <w:rsid w:val="008D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3511">
      <w:bodyDiv w:val="1"/>
      <w:marLeft w:val="0"/>
      <w:marRight w:val="0"/>
      <w:marTop w:val="0"/>
      <w:marBottom w:val="0"/>
      <w:divBdr>
        <w:top w:val="none" w:sz="0" w:space="0" w:color="auto"/>
        <w:left w:val="none" w:sz="0" w:space="0" w:color="auto"/>
        <w:bottom w:val="none" w:sz="0" w:space="0" w:color="auto"/>
        <w:right w:val="none" w:sz="0" w:space="0" w:color="auto"/>
      </w:divBdr>
    </w:div>
    <w:div w:id="1104614141">
      <w:bodyDiv w:val="1"/>
      <w:marLeft w:val="0"/>
      <w:marRight w:val="0"/>
      <w:marTop w:val="0"/>
      <w:marBottom w:val="0"/>
      <w:divBdr>
        <w:top w:val="none" w:sz="0" w:space="0" w:color="auto"/>
        <w:left w:val="none" w:sz="0" w:space="0" w:color="auto"/>
        <w:bottom w:val="none" w:sz="0" w:space="0" w:color="auto"/>
        <w:right w:val="none" w:sz="0" w:space="0" w:color="auto"/>
      </w:divBdr>
    </w:div>
    <w:div w:id="1240362514">
      <w:bodyDiv w:val="1"/>
      <w:marLeft w:val="0"/>
      <w:marRight w:val="0"/>
      <w:marTop w:val="0"/>
      <w:marBottom w:val="0"/>
      <w:divBdr>
        <w:top w:val="none" w:sz="0" w:space="0" w:color="auto"/>
        <w:left w:val="none" w:sz="0" w:space="0" w:color="auto"/>
        <w:bottom w:val="none" w:sz="0" w:space="0" w:color="auto"/>
        <w:right w:val="none" w:sz="0" w:space="0" w:color="auto"/>
      </w:divBdr>
    </w:div>
    <w:div w:id="14937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24-31-2024-QH15-523642.aspx" TargetMode="External"/><Relationship Id="rId3" Type="http://schemas.openxmlformats.org/officeDocument/2006/relationships/settings" Target="settings.xml"/><Relationship Id="rId7" Type="http://schemas.openxmlformats.org/officeDocument/2006/relationships/hyperlink" Target="https://thuvienphapluat.vn/van-ban/Bo-may-hanh-chinh/Quyet-dinh-278-QD-BTNMT-2024-Chuong-trinh-cong-tac-nam-cua-Bo-Tai-nguyen-599057.aspx"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t-dong-san/Luat-Dat-dai-2024-31-2024-QH15-523642.aspx?anchor=dieu_190" TargetMode="External"/><Relationship Id="rId11" Type="http://schemas.openxmlformats.org/officeDocument/2006/relationships/hyperlink" Target="https://thuvienphapluat.vn/chinh-sach-phap-luat-moi/vn/thoi-su-phap-luat/bat-dong-san/59873/tong-hop-du-thao-nghi-dinh-va-thong-tu-huong-dan-luat-dat-dai-2024" TargetMode="External"/><Relationship Id="rId5" Type="http://schemas.openxmlformats.org/officeDocument/2006/relationships/hyperlink" Target="https://thuvienphapluat.vn/van-ban/Bat-dong-san/Luat-Dat-dai-2024-31-2024-QH15-523642.aspx" TargetMode="External"/><Relationship Id="rId15" Type="http://schemas.openxmlformats.org/officeDocument/2006/relationships/theme" Target="theme/theme1.xml"/><Relationship Id="rId10" Type="http://schemas.openxmlformats.org/officeDocument/2006/relationships/hyperlink" Target="https://thuvienphapluat.vn/van-ban/Bat-dong-san/Luat-Dat-dai-2024-31-2024-QH15-523642.aspx" TargetMode="External"/><Relationship Id="rId4" Type="http://schemas.openxmlformats.org/officeDocument/2006/relationships/webSettings" Target="webSettings.xml"/><Relationship Id="rId9" Type="http://schemas.openxmlformats.org/officeDocument/2006/relationships/hyperlink" Target="https://thuvienphapluat.vn/van-ban/Bat-dong-san/Du-thao-Nghi-dinh-Quy-dinh-ve-gia-dat-59914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8</dc:creator>
  <cp:keywords/>
  <dc:description/>
  <cp:lastModifiedBy>Admin 8</cp:lastModifiedBy>
  <cp:revision>3</cp:revision>
  <dcterms:created xsi:type="dcterms:W3CDTF">2024-05-23T02:54:00Z</dcterms:created>
  <dcterms:modified xsi:type="dcterms:W3CDTF">2024-05-23T03:11:00Z</dcterms:modified>
</cp:coreProperties>
</file>